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21F" w:rsidRDefault="00F2321F" w:rsidP="00F2321F">
      <w:pPr>
        <w:spacing w:line="480" w:lineRule="auto"/>
        <w:jc w:val="center"/>
      </w:pPr>
    </w:p>
    <w:p w:rsidR="00F2321F" w:rsidRDefault="00F2321F" w:rsidP="00F2321F">
      <w:pPr>
        <w:spacing w:line="480" w:lineRule="auto"/>
        <w:jc w:val="center"/>
      </w:pPr>
    </w:p>
    <w:p w:rsidR="00F2321F" w:rsidRDefault="00F2321F" w:rsidP="00F2321F">
      <w:pPr>
        <w:spacing w:line="480" w:lineRule="auto"/>
        <w:jc w:val="center"/>
      </w:pPr>
    </w:p>
    <w:p w:rsidR="00F2321F" w:rsidRDefault="00F2321F" w:rsidP="00F2321F">
      <w:pPr>
        <w:spacing w:line="480" w:lineRule="auto"/>
        <w:jc w:val="center"/>
      </w:pPr>
    </w:p>
    <w:p w:rsidR="00F2321F" w:rsidRDefault="00F2321F" w:rsidP="00F2321F">
      <w:pPr>
        <w:spacing w:line="480" w:lineRule="auto"/>
        <w:jc w:val="center"/>
      </w:pPr>
      <w:r>
        <w:t>Constitutional Due Process</w:t>
      </w:r>
    </w:p>
    <w:p w:rsidR="00F2321F" w:rsidRDefault="00F2321F" w:rsidP="00F2321F">
      <w:pPr>
        <w:spacing w:line="480" w:lineRule="auto"/>
        <w:jc w:val="center"/>
      </w:pPr>
      <w:r>
        <w:t>Name</w:t>
      </w:r>
    </w:p>
    <w:p w:rsidR="00F2321F" w:rsidRDefault="00F2321F" w:rsidP="00F2321F">
      <w:pPr>
        <w:spacing w:line="480" w:lineRule="auto"/>
        <w:jc w:val="center"/>
      </w:pPr>
      <w:r>
        <w:t>Institutional Affiliation</w:t>
      </w:r>
    </w:p>
    <w:p w:rsidR="009E4386" w:rsidRDefault="009E4386">
      <w:r>
        <w:br w:type="page"/>
      </w:r>
    </w:p>
    <w:p w:rsidR="009E4386" w:rsidRDefault="009E4386" w:rsidP="009E4386">
      <w:pPr>
        <w:spacing w:line="480" w:lineRule="auto"/>
        <w:jc w:val="center"/>
      </w:pPr>
      <w:r>
        <w:lastRenderedPageBreak/>
        <w:t>Constitutional Due Process</w:t>
      </w:r>
    </w:p>
    <w:p w:rsidR="00F2321F" w:rsidRPr="009E4386" w:rsidRDefault="00F2321F" w:rsidP="009E4386">
      <w:pPr>
        <w:spacing w:line="480" w:lineRule="auto"/>
        <w:jc w:val="center"/>
        <w:rPr>
          <w:b/>
        </w:rPr>
      </w:pPr>
      <w:r w:rsidRPr="009E4386">
        <w:rPr>
          <w:b/>
        </w:rPr>
        <w:t>Question 1</w:t>
      </w:r>
    </w:p>
    <w:p w:rsidR="00F2321F" w:rsidRDefault="00F2321F" w:rsidP="009E4386">
      <w:pPr>
        <w:spacing w:line="480" w:lineRule="auto"/>
        <w:ind w:firstLine="720"/>
      </w:pPr>
      <w:r>
        <w:t>The landmark case in Goldberg v. Kelly (1970) helped to establish the procedural due process for persons receiving benefits from the state. In this case, New York residents that received children support aid from the government filed a lawsuit in the district court seeking to stop the people behind the program from terminating the aid</w:t>
      </w:r>
      <w:r w:rsidR="009E4386">
        <w:t xml:space="preserve"> (Justia, 2018).</w:t>
      </w:r>
      <w:r>
        <w:t xml:space="preserve"> These residents argued that they were denied the due process of law as they were not consulted or no hearing was done before the termination. The principle of adequate hearing as required in due process was violated for these residents as they were not provided with express themselves before the program was terminated</w:t>
      </w:r>
      <w:r w:rsidR="009E4386">
        <w:t xml:space="preserve"> (Justia, 2018)</w:t>
      </w:r>
      <w:r>
        <w:t>. The equal protection clause of the constitution protects the citizens from violation of their basic rights such as receiving state benefits. The case, therefore, unearthed violations to the residents where due process and equal protection rights were denied.</w:t>
      </w:r>
    </w:p>
    <w:p w:rsidR="00F2321F" w:rsidRDefault="00F2321F" w:rsidP="009E4386">
      <w:pPr>
        <w:spacing w:line="480" w:lineRule="auto"/>
        <w:ind w:firstLine="720"/>
      </w:pPr>
      <w:r>
        <w:t>The cost-benefit analysis is an approach that compares the cost and the benefits of undertaking a certain program or an action. The purpose of the cost-benefit analysis is to determine the option that is of benefit in a given undertaking</w:t>
      </w:r>
      <w:r w:rsidR="009E4386">
        <w:t xml:space="preserve"> (Lawson</w:t>
      </w:r>
      <w:r w:rsidR="009E4386" w:rsidRPr="009E4386">
        <w:t>, Sei</w:t>
      </w:r>
      <w:r w:rsidR="009E4386">
        <w:t xml:space="preserve">dman &amp; Natelson, </w:t>
      </w:r>
      <w:r w:rsidR="009E4386" w:rsidRPr="009E4386">
        <w:t>2014).</w:t>
      </w:r>
      <w:r>
        <w:t xml:space="preserve"> The approach is usually used for large projects and how it can impact the intended recipients. When it is determined that the costs supersede the intended benefits, the program is stopped. Protective interests serve to safeguard the rights and important privileges of a group of people however costly it might be to undertake. The purpose of protective interests is to ensure that citizens live a decent life where they can access basic services. Protective interests ensure that programs are run even if it is costly to government agencies or private entities. The rights </w:t>
      </w:r>
      <w:r>
        <w:lastRenderedPageBreak/>
        <w:t>provided by the constitution and other amendments advocate for protective interests in improving the standards of living.</w:t>
      </w:r>
    </w:p>
    <w:p w:rsidR="00F2321F" w:rsidRDefault="00F2321F" w:rsidP="009E4386">
      <w:pPr>
        <w:spacing w:line="480" w:lineRule="auto"/>
        <w:ind w:firstLine="720"/>
      </w:pPr>
      <w:r>
        <w:t>In reaching out to the decision, the court put into consideration cost-benefit analysis and protective interests of both the citizens and government agency. The goal of the state was to control its fiscal costs according to cost-benefit analysis. However, the court ruled that these entitlements were essential as it allowed the recipients to access food, healthcare, clothing, and shelter</w:t>
      </w:r>
      <w:r w:rsidR="009E4386">
        <w:t xml:space="preserve"> (Lawson</w:t>
      </w:r>
      <w:r w:rsidR="009E4386" w:rsidRPr="009E4386">
        <w:t>, Sei</w:t>
      </w:r>
      <w:r w:rsidR="009E4386">
        <w:t>dman &amp; Natelson, 2014).</w:t>
      </w:r>
      <w:r>
        <w:t xml:space="preserve"> A denial to these entitlements would negatively affect the welfare of the recipients. The court rejected an argument provided by the state arguing that the welfare of the citizens overrides the interests of the government. In this case, protective interests played a part in protecting the citizens from the termination of the program.</w:t>
      </w:r>
    </w:p>
    <w:p w:rsidR="00F2321F" w:rsidRPr="009E4386" w:rsidRDefault="00F2321F" w:rsidP="009E4386">
      <w:pPr>
        <w:spacing w:line="480" w:lineRule="auto"/>
        <w:jc w:val="center"/>
        <w:rPr>
          <w:b/>
        </w:rPr>
      </w:pPr>
      <w:r w:rsidRPr="009E4386">
        <w:rPr>
          <w:b/>
        </w:rPr>
        <w:t>Question 2</w:t>
      </w:r>
    </w:p>
    <w:p w:rsidR="009E4386" w:rsidRDefault="00C756D0" w:rsidP="00C756D0">
      <w:pPr>
        <w:spacing w:line="480" w:lineRule="auto"/>
        <w:ind w:firstLine="720"/>
      </w:pPr>
      <w:r w:rsidRPr="00C756D0">
        <w:t>The enforcement by the court in the case upheld the constitutional due process. The court played a huge role in providing direction on constitutional that could out rightly be violated by state officials. The courts established that due process is required for any case that involves the rights of any citizen as provided by the fourteen amendment (Re, 2013). Previously, most people saw their rights violated due to failure to observe the provision of due process. Through this case, the courts provided a basis that will be used in the future in ensuring that due process is followed to protect the interests of the minority in the society. By ruling in favor of the citizens, the decision served to show that the law and the constitution protect all the citizens through the establishment of due process. Even if the government has a significant interest in an issue, due process must be followed before implementation</w:t>
      </w:r>
      <w:r>
        <w:t xml:space="preserve"> </w:t>
      </w:r>
      <w:r w:rsidRPr="00C756D0">
        <w:t xml:space="preserve">(Re, 2013). The case is important to public officials that they need to follow all the provisions of the law before executing any state policy. In the past, public administrators took matters into their own hands by executing policies that </w:t>
      </w:r>
      <w:r w:rsidRPr="00C756D0">
        <w:lastRenderedPageBreak/>
        <w:t>undermined the provisions of the fourth amendment. As such, their actions ended up causing injury and immeasurable torture to the citizens whose rights would have been protected had due process had been followed. The law protects all the citizens, and public administrators should know that the interests of the citizen’s override those of the government they serve.</w:t>
      </w:r>
      <w:r w:rsidR="009E4386">
        <w:br w:type="page"/>
      </w:r>
    </w:p>
    <w:p w:rsidR="006B19CE" w:rsidRPr="007A115A" w:rsidRDefault="009E4386" w:rsidP="009E4386">
      <w:pPr>
        <w:spacing w:line="480" w:lineRule="auto"/>
        <w:ind w:firstLine="720"/>
        <w:jc w:val="center"/>
        <w:rPr>
          <w:color w:val="000000" w:themeColor="text1"/>
        </w:rPr>
      </w:pPr>
      <w:bookmarkStart w:id="0" w:name="_GoBack"/>
      <w:bookmarkEnd w:id="0"/>
      <w:r w:rsidRPr="007A115A">
        <w:rPr>
          <w:color w:val="000000" w:themeColor="text1"/>
        </w:rPr>
        <w:lastRenderedPageBreak/>
        <w:t>References</w:t>
      </w:r>
    </w:p>
    <w:p w:rsidR="009E4386" w:rsidRPr="007A115A" w:rsidRDefault="009E4386" w:rsidP="009E4386">
      <w:pPr>
        <w:spacing w:line="480" w:lineRule="auto"/>
        <w:ind w:left="720" w:hanging="720"/>
        <w:rPr>
          <w:color w:val="000000" w:themeColor="text1"/>
        </w:rPr>
      </w:pPr>
      <w:r w:rsidRPr="007A115A">
        <w:rPr>
          <w:color w:val="000000" w:themeColor="text1"/>
        </w:rPr>
        <w:t xml:space="preserve">Justia. (2018). Goldberg v. Kelly, 397 U.S. 254 (1970). Retrieved from </w:t>
      </w:r>
      <w:hyperlink r:id="rId7" w:history="1">
        <w:r w:rsidRPr="007A115A">
          <w:rPr>
            <w:rStyle w:val="Hyperlink"/>
            <w:color w:val="000000" w:themeColor="text1"/>
            <w:u w:val="none"/>
          </w:rPr>
          <w:t>https://supreme.justia.com/cases/federal/us/397/254/</w:t>
        </w:r>
      </w:hyperlink>
      <w:r w:rsidRPr="007A115A">
        <w:rPr>
          <w:color w:val="000000" w:themeColor="text1"/>
        </w:rPr>
        <w:t xml:space="preserve"> </w:t>
      </w:r>
    </w:p>
    <w:p w:rsidR="009E4386" w:rsidRPr="007A115A" w:rsidRDefault="009E4386" w:rsidP="009E4386">
      <w:pPr>
        <w:spacing w:line="480" w:lineRule="auto"/>
        <w:ind w:left="720" w:hanging="720"/>
        <w:rPr>
          <w:color w:val="000000" w:themeColor="text1"/>
        </w:rPr>
      </w:pPr>
      <w:r w:rsidRPr="007A115A">
        <w:rPr>
          <w:color w:val="000000" w:themeColor="text1"/>
        </w:rPr>
        <w:t>Lawson, G., Seidman, G. I., &amp; Natelson, R. G. (2014). The Fiduciary Foundations of Federal Equal Protection. </w:t>
      </w:r>
      <w:r w:rsidRPr="007A115A">
        <w:rPr>
          <w:i/>
          <w:iCs/>
          <w:color w:val="000000" w:themeColor="text1"/>
        </w:rPr>
        <w:t>BUL Rev.</w:t>
      </w:r>
      <w:r w:rsidRPr="007A115A">
        <w:rPr>
          <w:color w:val="000000" w:themeColor="text1"/>
        </w:rPr>
        <w:t>, </w:t>
      </w:r>
      <w:r w:rsidRPr="007A115A">
        <w:rPr>
          <w:i/>
          <w:iCs/>
          <w:color w:val="000000" w:themeColor="text1"/>
        </w:rPr>
        <w:t>94</w:t>
      </w:r>
      <w:r w:rsidRPr="007A115A">
        <w:rPr>
          <w:color w:val="000000" w:themeColor="text1"/>
        </w:rPr>
        <w:t>, 415.</w:t>
      </w:r>
    </w:p>
    <w:p w:rsidR="009E4386" w:rsidRPr="007A115A" w:rsidRDefault="009E4386" w:rsidP="009E4386">
      <w:pPr>
        <w:spacing w:line="480" w:lineRule="auto"/>
        <w:ind w:left="720" w:hanging="720"/>
        <w:rPr>
          <w:color w:val="000000" w:themeColor="text1"/>
        </w:rPr>
      </w:pPr>
      <w:r w:rsidRPr="007A115A">
        <w:rPr>
          <w:color w:val="000000" w:themeColor="text1"/>
        </w:rPr>
        <w:t>Re, R. M. (2013). The Due Process Exclusionary Rule. </w:t>
      </w:r>
      <w:r w:rsidRPr="007A115A">
        <w:rPr>
          <w:i/>
          <w:iCs/>
          <w:color w:val="000000" w:themeColor="text1"/>
        </w:rPr>
        <w:t>Harv. L. Rev.</w:t>
      </w:r>
      <w:r w:rsidRPr="007A115A">
        <w:rPr>
          <w:color w:val="000000" w:themeColor="text1"/>
        </w:rPr>
        <w:t>, </w:t>
      </w:r>
      <w:r w:rsidRPr="007A115A">
        <w:rPr>
          <w:i/>
          <w:iCs/>
          <w:color w:val="000000" w:themeColor="text1"/>
        </w:rPr>
        <w:t>127</w:t>
      </w:r>
      <w:r w:rsidRPr="007A115A">
        <w:rPr>
          <w:color w:val="000000" w:themeColor="text1"/>
        </w:rPr>
        <w:t>, 1885.</w:t>
      </w:r>
    </w:p>
    <w:p w:rsidR="009E4386" w:rsidRPr="00F2321F" w:rsidRDefault="009E4386" w:rsidP="009E4386">
      <w:pPr>
        <w:spacing w:line="480" w:lineRule="auto"/>
      </w:pPr>
    </w:p>
    <w:sectPr w:rsidR="009E4386" w:rsidRPr="00F2321F" w:rsidSect="009E438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5DE" w:rsidRDefault="000515DE" w:rsidP="00F2321F">
      <w:pPr>
        <w:spacing w:after="0" w:line="240" w:lineRule="auto"/>
      </w:pPr>
      <w:r>
        <w:separator/>
      </w:r>
    </w:p>
  </w:endnote>
  <w:endnote w:type="continuationSeparator" w:id="0">
    <w:p w:rsidR="000515DE" w:rsidRDefault="000515DE" w:rsidP="00F23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486" w:rsidRDefault="003F54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486" w:rsidRDefault="003F548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486" w:rsidRDefault="003F54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5DE" w:rsidRDefault="000515DE" w:rsidP="00F2321F">
      <w:pPr>
        <w:spacing w:after="0" w:line="240" w:lineRule="auto"/>
      </w:pPr>
      <w:r>
        <w:separator/>
      </w:r>
    </w:p>
  </w:footnote>
  <w:footnote w:type="continuationSeparator" w:id="0">
    <w:p w:rsidR="000515DE" w:rsidRDefault="000515DE" w:rsidP="00F232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486" w:rsidRDefault="003F54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21F" w:rsidRDefault="00F2321F">
    <w:pPr>
      <w:pStyle w:val="Header"/>
      <w:jc w:val="right"/>
    </w:pPr>
    <w:r>
      <w:t xml:space="preserve">CONSTITUTIONAL DUE PROCESS </w:t>
    </w:r>
    <w:r>
      <w:tab/>
    </w:r>
    <w:r>
      <w:tab/>
    </w:r>
    <w:sdt>
      <w:sdtPr>
        <w:id w:val="-9063079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5486">
          <w:rPr>
            <w:noProof/>
          </w:rPr>
          <w:t>5</w:t>
        </w:r>
        <w:r>
          <w:rPr>
            <w:noProof/>
          </w:rPr>
          <w:fldChar w:fldCharType="end"/>
        </w:r>
      </w:sdtContent>
    </w:sdt>
  </w:p>
  <w:p w:rsidR="00F2321F" w:rsidRDefault="00F232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386" w:rsidRDefault="009E4386">
    <w:pPr>
      <w:pStyle w:val="Header"/>
      <w:jc w:val="right"/>
    </w:pPr>
    <w:r>
      <w:t xml:space="preserve">Running head: CONSTITUTIONAL DUE PROCESS </w:t>
    </w:r>
    <w:r>
      <w:tab/>
    </w:r>
    <w:sdt>
      <w:sdtPr>
        <w:id w:val="638465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5486">
          <w:rPr>
            <w:noProof/>
          </w:rPr>
          <w:t>1</w:t>
        </w:r>
        <w:r>
          <w:rPr>
            <w:noProof/>
          </w:rPr>
          <w:fldChar w:fldCharType="end"/>
        </w:r>
      </w:sdtContent>
    </w:sdt>
  </w:p>
  <w:p w:rsidR="009E4386" w:rsidRDefault="009E43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1FB"/>
    <w:rsid w:val="000515DE"/>
    <w:rsid w:val="001D03F7"/>
    <w:rsid w:val="00291BB2"/>
    <w:rsid w:val="003F5486"/>
    <w:rsid w:val="005D71FB"/>
    <w:rsid w:val="006B19CE"/>
    <w:rsid w:val="007A115A"/>
    <w:rsid w:val="009E4386"/>
    <w:rsid w:val="00C41C13"/>
    <w:rsid w:val="00C756D0"/>
    <w:rsid w:val="00E03350"/>
    <w:rsid w:val="00F2321F"/>
    <w:rsid w:val="00F93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21F"/>
  </w:style>
  <w:style w:type="paragraph" w:styleId="Footer">
    <w:name w:val="footer"/>
    <w:basedOn w:val="Normal"/>
    <w:link w:val="FooterChar"/>
    <w:uiPriority w:val="99"/>
    <w:unhideWhenUsed/>
    <w:rsid w:val="00F23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21F"/>
  </w:style>
  <w:style w:type="character" w:styleId="Hyperlink">
    <w:name w:val="Hyperlink"/>
    <w:basedOn w:val="DefaultParagraphFont"/>
    <w:uiPriority w:val="99"/>
    <w:unhideWhenUsed/>
    <w:rsid w:val="009E438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21F"/>
  </w:style>
  <w:style w:type="paragraph" w:styleId="Footer">
    <w:name w:val="footer"/>
    <w:basedOn w:val="Normal"/>
    <w:link w:val="FooterChar"/>
    <w:uiPriority w:val="99"/>
    <w:unhideWhenUsed/>
    <w:rsid w:val="00F23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21F"/>
  </w:style>
  <w:style w:type="character" w:styleId="Hyperlink">
    <w:name w:val="Hyperlink"/>
    <w:basedOn w:val="DefaultParagraphFont"/>
    <w:uiPriority w:val="99"/>
    <w:unhideWhenUsed/>
    <w:rsid w:val="009E43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90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upreme.justia.com/cases/federal/us/397/254/"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706</Words>
  <Characters>4029</Characters>
  <Application>Microsoft Office Word</Application>
  <DocSecurity>0</DocSecurity>
  <Lines>33</Lines>
  <Paragraphs>9</Paragraphs>
  <ScaleCrop>false</ScaleCrop>
  <LinksUpToDate>false</LinksUpToDate>
  <CharactersWithSpaces>4726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2018-09-17T06:04:00Z</dcterms:created>
  <dcterms:modified xsi:type="dcterms:W3CDTF">2018-09-17T06:04:00Z</dcterms:modified>
</cp:coreProperties>
</file>